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43"/>
          <w:szCs w:val="43"/>
          <w:b w:val="1"/>
          <w:bCs w:val="1"/>
          <w:color w:val="auto"/>
        </w:rPr>
        <w:t>Autohome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18th Floor Tower B, CEC Plaza</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3 Dan Ling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Haidian District, Beijing 100080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Autohome Inc. Adopted 2026 Share Incentive Plan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of directors of Autohome Inc. (the “Company”) and the compensation committee of the board of directors of the Company have recently approved and authorized the adoption of its 2026 Share Incentive Plan (the “2026 Plan”). Under the 2026 Plan, the maximum aggregate number of shares which may be issued pursuant to all incentive awards (including share options) shall be 31,200,000 ordinary shares of the Company. The purpose of the 2026 Plan is to promote the success and enhance the value of the Company by linking the personal interests of the members of the board of directors, employees, and consultants to those of the Company’s shareholders and by providing such individuals with an incentive for outstanding performance to generate superior returns to the Company’s shareholders.</w:t>
      </w:r>
    </w:p>
    <w:p>
      <w:pPr>
        <w:sectPr>
          <w:pgSz w:w="11900" w:h="16838" w:orient="portrait"/>
          <w:cols w:equalWidth="0" w:num="1">
            <w:col w:w="10960"/>
          </w:cols>
          <w:pgMar w:left="440" w:top="266"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Autohome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/s/ Chi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Chi Liu</w:t>
      </w:r>
    </w:p>
    <w:p>
      <w:pPr>
        <w:spacing w:after="0" w:line="27" w:lineRule="exact"/>
        <w:rPr>
          <w:sz w:val="20"/>
          <w:szCs w:val="20"/>
          <w:color w:val="auto"/>
        </w:rPr>
      </w:pPr>
    </w:p>
    <w:p>
      <w:pPr>
        <w:jc w:val="right"/>
        <w:spacing w:after="0"/>
        <w:tabs>
          <w:tab w:leader="none" w:pos="3060" w:val="left"/>
        </w:tabs>
        <w:rPr>
          <w:sz w:val="20"/>
          <w:szCs w:val="20"/>
          <w:color w:val="auto"/>
        </w:rPr>
      </w:pPr>
      <w:r>
        <w:rPr>
          <w:rFonts w:ascii="Times New Roman" w:cs="Times New Roman" w:eastAsia="Times New Roman" w:hAnsi="Times New Roman"/>
          <w:sz w:val="18"/>
          <w:szCs w:val="18"/>
          <w:color w:val="auto"/>
        </w:rPr>
        <w:t>Title :</w:t>
      </w:r>
      <w:r>
        <w:rPr>
          <w:sz w:val="20"/>
          <w:szCs w:val="20"/>
          <w:color w:val="auto"/>
        </w:rPr>
        <w:tab/>
      </w:r>
      <w:r>
        <w:rPr>
          <w:rFonts w:ascii="Times New Roman" w:cs="Times New Roman" w:eastAsia="Times New Roman" w:hAnsi="Times New Roman"/>
          <w:sz w:val="17"/>
          <w:szCs w:val="17"/>
          <w:color w:val="auto"/>
        </w:rPr>
        <w:t>Chairman of the Board, Director and Chief</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2026</w:t>
      </w:r>
    </w:p>
    <w:sectPr>
      <w:pgSz w:w="11900" w:h="16838" w:orient="portrait"/>
      <w:cols w:equalWidth="0" w:num="1">
        <w:col w:w="10280"/>
      </w:cols>
      <w:pgMar w:left="440" w:top="266"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2026-05-29T05:41:21Z</dcterms:created>
  <dcterms:modified xsi:type="dcterms:W3CDTF">2026-05-29T05:41:21Z</dcterms:modified>
</cp:coreProperties>
</file>