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8731d6k.htm"/>
      <w:bookmarkStart w:id="1" w:name="ksd168731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001-36222</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Autohome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18th Floor Tower B, CEC Plaza </w:t>
      </w:r>
    </w:p>
    <w:p>
      <w:pPr>
        <w:pStyle w:val="TextBody"/>
        <w:bidi w:val="0"/>
        <w:spacing w:before="0" w:after="0"/>
        <w:jc w:val="center"/>
        <w:rPr>
          <w:rFonts w:ascii="Times New Roman" w:hAnsi="Times New Roman"/>
          <w:b/>
          <w:sz w:val="20"/>
        </w:rPr>
      </w:pPr>
      <w:r>
        <w:rPr>
          <w:rFonts w:ascii="Times New Roman" w:hAnsi="Times New Roman"/>
          <w:b/>
          <w:sz w:val="20"/>
        </w:rPr>
        <w:t xml:space="preserve">3 Dan Ling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100080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89"/>
        <w:gridCol w:w="654"/>
        <w:gridCol w:w="8362"/>
      </w:tblGrid>
      <w:tr>
        <w:trPr/>
        <w:tc>
          <w:tcPr>
            <w:tcW w:w="1189" w:type="dxa"/>
            <w:tcBorders/>
            <w:vAlign w:val="center"/>
          </w:tcPr>
          <w:p>
            <w:pPr>
              <w:pStyle w:val="TableContents"/>
              <w:bidi w:val="0"/>
              <w:spacing w:before="0" w:after="283"/>
              <w:jc w:val="left"/>
              <w:rPr>
                <w:sz w:val="4"/>
                <w:szCs w:val="4"/>
              </w:rPr>
            </w:pPr>
            <w:r>
              <w:rPr>
                <w:sz w:val="4"/>
                <w:szCs w:val="4"/>
              </w:rPr>
            </w:r>
          </w:p>
        </w:tc>
        <w:tc>
          <w:tcPr>
            <w:tcW w:w="654" w:type="dxa"/>
            <w:tcBorders/>
            <w:vAlign w:val="bottom"/>
          </w:tcPr>
          <w:p>
            <w:pPr>
              <w:pStyle w:val="TableContents"/>
              <w:bidi w:val="0"/>
              <w:spacing w:before="0" w:after="283"/>
              <w:jc w:val="left"/>
              <w:rPr>
                <w:sz w:val="4"/>
                <w:szCs w:val="4"/>
              </w:rPr>
            </w:pPr>
            <w:r>
              <w:rPr>
                <w:sz w:val="4"/>
                <w:szCs w:val="4"/>
              </w:rPr>
            </w:r>
          </w:p>
        </w:tc>
        <w:tc>
          <w:tcPr>
            <w:tcW w:w="8362" w:type="dxa"/>
            <w:tcBorders/>
            <w:vAlign w:val="center"/>
          </w:tcPr>
          <w:p>
            <w:pPr>
              <w:pStyle w:val="TableContents"/>
              <w:bidi w:val="0"/>
              <w:spacing w:before="0" w:after="283"/>
              <w:jc w:val="left"/>
              <w:rPr>
                <w:sz w:val="4"/>
                <w:szCs w:val="4"/>
              </w:rPr>
            </w:pPr>
            <w:r>
              <w:rPr>
                <w:sz w:val="4"/>
                <w:szCs w:val="4"/>
              </w:rPr>
            </w:r>
          </w:p>
        </w:tc>
      </w:tr>
      <w:tr>
        <w:trPr/>
        <w:tc>
          <w:tcPr>
            <w:tcW w:w="1189"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654" w:type="dxa"/>
            <w:tcBorders/>
            <w:vAlign w:val="bottom"/>
          </w:tcPr>
          <w:p>
            <w:pPr>
              <w:pStyle w:val="TableContents"/>
              <w:bidi w:val="0"/>
              <w:spacing w:before="0" w:after="283"/>
              <w:jc w:val="left"/>
              <w:rPr/>
            </w:pPr>
            <w:r>
              <w:rPr/>
              <w:t>  </w:t>
            </w:r>
          </w:p>
        </w:tc>
        <w:tc>
          <w:tcPr>
            <w:tcW w:w="836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1189" w:type="dxa"/>
            <w:tcBorders/>
            <w:vAlign w:val="center"/>
          </w:tcPr>
          <w:p>
            <w:pPr>
              <w:pStyle w:val="TableContents"/>
              <w:bidi w:val="0"/>
              <w:spacing w:before="0" w:after="283"/>
              <w:jc w:val="left"/>
              <w:rPr>
                <w:sz w:val="4"/>
                <w:szCs w:val="4"/>
              </w:rPr>
            </w:pPr>
            <w:r>
              <w:rPr>
                <w:sz w:val="4"/>
                <w:szCs w:val="4"/>
              </w:rPr>
            </w:r>
          </w:p>
        </w:tc>
        <w:tc>
          <w:tcPr>
            <w:tcW w:w="9016" w:type="dxa"/>
            <w:gridSpan w:val="2"/>
            <w:tcBorders/>
            <w:vAlign w:val="center"/>
          </w:tcPr>
          <w:p>
            <w:pPr>
              <w:pStyle w:val="TableContents"/>
              <w:bidi w:val="0"/>
              <w:spacing w:before="0" w:after="283"/>
              <w:jc w:val="left"/>
              <w:rPr>
                <w:sz w:val="4"/>
                <w:szCs w:val="4"/>
              </w:rPr>
            </w:pPr>
            <w:r>
              <w:rPr>
                <w:sz w:val="4"/>
                <w:szCs w:val="4"/>
              </w:rPr>
            </w:r>
          </w:p>
        </w:tc>
      </w:tr>
      <w:tr>
        <w:trPr/>
        <w:tc>
          <w:tcPr>
            <w:tcW w:w="1189" w:type="dxa"/>
            <w:tcBorders/>
          </w:tcPr>
          <w:p>
            <w:pPr>
              <w:pStyle w:val="TableContents"/>
              <w:bidi w:val="0"/>
              <w:spacing w:before="0" w:after="283"/>
              <w:jc w:val="left"/>
              <w:rPr/>
            </w:pPr>
            <w:r>
              <w:rPr/>
              <w:t>99.1</w:t>
            </w:r>
          </w:p>
        </w:tc>
        <w:tc>
          <w:tcPr>
            <w:tcW w:w="654" w:type="dxa"/>
            <w:tcBorders/>
            <w:vAlign w:val="bottom"/>
          </w:tcPr>
          <w:p>
            <w:pPr>
              <w:pStyle w:val="TableContents"/>
              <w:bidi w:val="0"/>
              <w:spacing w:before="0" w:after="283"/>
              <w:jc w:val="left"/>
              <w:rPr/>
            </w:pPr>
            <w:r>
              <w:rPr/>
              <w:t>  </w:t>
            </w:r>
          </w:p>
        </w:tc>
        <w:tc>
          <w:tcPr>
            <w:tcW w:w="8362" w:type="dxa"/>
            <w:tcBorders/>
          </w:tcPr>
          <w:p>
            <w:pPr>
              <w:pStyle w:val="TableContents"/>
              <w:bidi w:val="0"/>
              <w:spacing w:before="0" w:after="283"/>
              <w:jc w:val="left"/>
              <w:rPr/>
            </w:pPr>
            <w:hyperlink w:anchor="d168731dex991.htm">
              <w:r>
                <w:rPr>
                  <w:rStyle w:val="InternetLink"/>
                </w:rPr>
                <w:t xml:space="preserve">Announcement – Date of Board Meeting and Date of Publication of 2026 Q2 and Interim Results Announcement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Autohome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vAlign w:val="bottom"/>
          </w:tcPr>
          <w:p>
            <w:pPr>
              <w:pStyle w:val="TableContents"/>
              <w:bidi w:val="0"/>
              <w:spacing w:before="0" w:after="283"/>
              <w:jc w:val="left"/>
              <w:rPr/>
            </w:pPr>
            <w:r>
              <w:rPr/>
              <w:t>By :</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vAlign w:val="bottom"/>
          </w:tcPr>
          <w:p>
            <w:pPr>
              <w:pStyle w:val="TableContents"/>
              <w:bidi w:val="0"/>
              <w:spacing w:before="0" w:after="283"/>
              <w:jc w:val="left"/>
              <w:rPr/>
            </w:pPr>
            <w:r>
              <w:rPr/>
              <w:t>/s/ Chi Liu</w:t>
            </w:r>
          </w:p>
        </w:tc>
      </w:tr>
      <w:tr>
        <w:trPr/>
        <w:tc>
          <w:tcPr>
            <w:tcW w:w="672"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Chi Liu</w:t>
            </w:r>
          </w:p>
        </w:tc>
      </w:tr>
      <w:tr>
        <w:trPr/>
        <w:tc>
          <w:tcPr>
            <w:tcW w:w="672" w:type="dxa"/>
            <w:tcBorders/>
          </w:tcPr>
          <w:p>
            <w:pPr>
              <w:pStyle w:val="TableContents"/>
              <w:bidi w:val="0"/>
              <w:spacing w:before="0" w:after="283"/>
              <w:jc w:val="left"/>
              <w:rPr/>
            </w:pPr>
            <w:r>
              <w:rPr/>
              <w:t>Title :</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Chairman of the Board, Director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July 31, 2026 </w:t>
      </w:r>
    </w:p>
    <w:p>
      <w:pPr>
        <w:pStyle w:val="TextBody"/>
        <w:bidi w:val="0"/>
        <w:spacing w:before="0" w:after="0"/>
        <w:jc w:val="right"/>
        <w:rPr>
          <w:rFonts w:ascii="Times New Roman" w:hAnsi="Times New Roman"/>
          <w:b/>
          <w:sz w:val="20"/>
        </w:rPr>
      </w:pPr>
      <w:bookmarkStart w:id="2" w:name="d168731dex991.htm"/>
      <w:bookmarkStart w:id="3" w:name="ksd168731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i/>
          <w:sz w:val="20"/>
        </w:rPr>
      </w:pPr>
      <w:r>
        <w:rPr>
          <w:rFonts w:ascii="Times New Roman" w:hAnsi="Times New Roman"/>
          <w:i/>
          <w:sz w:val="20"/>
        </w:rPr>
        <w:t xml:space="preserve">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 </w:t>
      </w:r>
    </w:p>
    <w:p>
      <w:pPr>
        <w:pStyle w:val="TextBody"/>
        <w:bidi w:val="0"/>
        <w:spacing w:before="0" w:after="0"/>
        <w:jc w:val="left"/>
        <w:rPr/>
      </w:pPr>
      <w:r>
        <w:rPr/>
        <w:t> </w:t>
      </w:r>
    </w:p>
    <w:p>
      <w:pPr>
        <w:pStyle w:val="TextBody"/>
        <w:bidi w:val="0"/>
        <w:spacing w:before="0" w:after="0"/>
        <w:jc w:val="center"/>
        <w:rPr/>
      </w:pPr>
      <w:r>
        <w:rPr/>
        <w:drawing>
          <wp:inline distT="0" distB="0" distL="0" distR="0">
            <wp:extent cx="2447925" cy="1019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47925" cy="1019175"/>
                    </a:xfrm>
                    <a:prstGeom prst="rect">
                      <a:avLst/>
                    </a:prstGeom>
                  </pic:spPr>
                </pic:pic>
              </a:graphicData>
            </a:graphic>
          </wp:inline>
        </w:drawing>
      </w:r>
      <w:r>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Autohome Inc. </w:t>
      </w:r>
    </w:p>
    <w:p>
      <w:pPr>
        <w:pStyle w:val="TextBody"/>
        <w:bidi w:val="0"/>
        <w:spacing w:before="0" w:after="0"/>
        <w:jc w:val="center"/>
        <w:rPr/>
      </w:pPr>
      <w:r>
        <w:rPr>
          <w:rFonts w:eastAsia="PMingLiU"/>
          <w:b/>
          <w:sz w:val="18"/>
        </w:rPr>
        <w:t>汽車之家</w:t>
      </w:r>
      <w:r>
        <w:rPr>
          <w:rFonts w:ascii="Times New Roman" w:hAnsi="Times New Roman"/>
          <w:b/>
          <w:sz w:val="20"/>
        </w:rPr>
        <w:t xml:space="preserve">* </w:t>
      </w:r>
    </w:p>
    <w:p>
      <w:pPr>
        <w:pStyle w:val="TextBody"/>
        <w:bidi w:val="0"/>
        <w:spacing w:before="0" w:after="0"/>
        <w:jc w:val="center"/>
        <w:rPr>
          <w:rFonts w:ascii="Times New Roman" w:hAnsi="Times New Roman"/>
          <w:i/>
          <w:sz w:val="20"/>
        </w:rPr>
      </w:pPr>
      <w:r>
        <w:rPr>
          <w:rFonts w:ascii="Times New Roman" w:hAnsi="Times New Roman"/>
          <w:i/>
          <w:sz w:val="20"/>
        </w:rPr>
        <w:t xml:space="preserve">(Incorporated in the Cayman Islands with limited liability) </w:t>
      </w:r>
    </w:p>
    <w:p>
      <w:pPr>
        <w:pStyle w:val="TextBody"/>
        <w:bidi w:val="0"/>
        <w:spacing w:before="0" w:after="0"/>
        <w:jc w:val="center"/>
        <w:rPr>
          <w:rFonts w:ascii="Times New Roman" w:hAnsi="Times New Roman"/>
          <w:b/>
          <w:sz w:val="20"/>
        </w:rPr>
      </w:pPr>
      <w:r>
        <w:rPr>
          <w:rFonts w:ascii="Times New Roman" w:hAnsi="Times New Roman"/>
          <w:b/>
          <w:sz w:val="20"/>
        </w:rPr>
        <w:t xml:space="preserve">(Stock Code: 2518) </w:t>
      </w:r>
    </w:p>
    <w:p>
      <w:pPr>
        <w:pStyle w:val="TextBody"/>
        <w:bidi w:val="0"/>
        <w:spacing w:before="120" w:after="0"/>
        <w:jc w:val="center"/>
        <w:rPr>
          <w:rFonts w:ascii="Times New Roman" w:hAnsi="Times New Roman"/>
          <w:b/>
          <w:sz w:val="20"/>
        </w:rPr>
      </w:pPr>
      <w:r>
        <w:rPr>
          <w:rFonts w:ascii="Times New Roman" w:hAnsi="Times New Roman"/>
          <w:b/>
          <w:sz w:val="20"/>
        </w:rPr>
        <w:t xml:space="preserve">DATE OF BOARD MEETING AND </w:t>
      </w:r>
    </w:p>
    <w:p>
      <w:pPr>
        <w:pStyle w:val="TextBody"/>
        <w:bidi w:val="0"/>
        <w:spacing w:before="0" w:after="0"/>
        <w:jc w:val="center"/>
        <w:rPr>
          <w:rFonts w:ascii="Times New Roman" w:hAnsi="Times New Roman"/>
          <w:b/>
          <w:sz w:val="20"/>
        </w:rPr>
      </w:pPr>
      <w:r>
        <w:rPr>
          <w:rFonts w:ascii="Times New Roman" w:hAnsi="Times New Roman"/>
          <w:b/>
          <w:sz w:val="20"/>
        </w:rPr>
        <w:t xml:space="preserve">DATE OF PUBLICATION OF </w:t>
      </w:r>
    </w:p>
    <w:p>
      <w:pPr>
        <w:pStyle w:val="TextBody"/>
        <w:bidi w:val="0"/>
        <w:spacing w:before="0" w:after="0"/>
        <w:jc w:val="center"/>
        <w:rPr>
          <w:rFonts w:ascii="Times New Roman" w:hAnsi="Times New Roman"/>
          <w:b/>
          <w:sz w:val="20"/>
        </w:rPr>
      </w:pPr>
      <w:r>
        <w:rPr>
          <w:rFonts w:ascii="Times New Roman" w:hAnsi="Times New Roman"/>
          <w:b/>
          <w:sz w:val="20"/>
        </w:rPr>
        <w:t xml:space="preserve">2026 Q2 AND INTERIM RESULTS ANNOUNCEMENT </w:t>
      </w:r>
    </w:p>
    <w:p>
      <w:pPr>
        <w:pStyle w:val="TextBody"/>
        <w:bidi w:val="0"/>
        <w:spacing w:before="240" w:after="0"/>
        <w:jc w:val="left"/>
        <w:rPr>
          <w:rFonts w:ascii="Times New Roman" w:hAnsi="Times New Roman"/>
          <w:sz w:val="20"/>
        </w:rPr>
      </w:pPr>
      <w:r>
        <w:rPr>
          <w:rFonts w:ascii="Times New Roman" w:hAnsi="Times New Roman"/>
          <w:sz w:val="20"/>
        </w:rPr>
        <w:t>The board of directors (the “</w:t>
      </w:r>
      <w:r>
        <w:rPr>
          <w:rFonts w:ascii="Times New Roman" w:hAnsi="Times New Roman"/>
          <w:b/>
          <w:sz w:val="20"/>
        </w:rPr>
        <w:t>Board</w:t>
      </w:r>
      <w:r>
        <w:rPr>
          <w:rFonts w:ascii="Times New Roman" w:hAnsi="Times New Roman"/>
          <w:sz w:val="20"/>
        </w:rPr>
        <w:t>”) of Autohome Inc. (the “</w:t>
      </w:r>
      <w:r>
        <w:rPr>
          <w:rFonts w:ascii="Times New Roman" w:hAnsi="Times New Roman"/>
          <w:b/>
          <w:sz w:val="20"/>
        </w:rPr>
        <w:t>Company</w:t>
      </w:r>
      <w:r>
        <w:rPr>
          <w:rFonts w:ascii="Times New Roman" w:hAnsi="Times New Roman"/>
          <w:sz w:val="20"/>
        </w:rPr>
        <w:t>”) will hold a Board meeting on Thursday, August 20, 2026 (Hong Kong time) for the purposes of, among other things, approving the unaudited financial results of the Company and its subsidiaries and announcement for the three months and six months ended June 30, 2026 (the “</w:t>
      </w:r>
      <w:r>
        <w:rPr>
          <w:rFonts w:ascii="Times New Roman" w:hAnsi="Times New Roman"/>
          <w:b/>
          <w:sz w:val="20"/>
        </w:rPr>
        <w:t>Results</w:t>
      </w:r>
      <w:r>
        <w:rPr>
          <w:rFonts w:ascii="Times New Roman" w:hAnsi="Times New Roman"/>
          <w:sz w:val="20"/>
        </w:rPr>
        <w:t xml:space="preserve">”). The Company will announce the Results on Thursday, August 20, 2026 (Hong Kong time) on the website of The Stock Exchange of Hong Kong Limited at </w:t>
      </w:r>
      <w:r>
        <w:rPr>
          <w:rFonts w:ascii="Times New Roman" w:hAnsi="Times New Roman"/>
          <w:b/>
          <w:sz w:val="20"/>
          <w:u w:val="single"/>
        </w:rPr>
        <w:t>https://www.hkexnews.hk</w:t>
      </w:r>
      <w:r>
        <w:rPr>
          <w:rFonts w:ascii="Times New Roman" w:hAnsi="Times New Roman"/>
          <w:sz w:val="20"/>
        </w:rPr>
        <w:t xml:space="preserve"> and the Company’s website at </w:t>
      </w:r>
      <w:r>
        <w:rPr>
          <w:rFonts w:ascii="Times New Roman" w:hAnsi="Times New Roman"/>
          <w:b/>
          <w:sz w:val="20"/>
          <w:u w:val="single"/>
        </w:rPr>
        <w:t>https://ir.autohome.com.cn</w:t>
      </w:r>
      <w:r>
        <w:rPr>
          <w:rFonts w:ascii="Times New Roman" w:hAnsi="Times New Roman"/>
          <w:sz w:val="20"/>
        </w:rPr>
        <w:t xml:space="preserve">, after the trading hours of The Stock Exchange of Hong Kong Limited and before the opening of the U.S. stock market.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host an earnings conference call at 8:00 p.m. on Thursday, August 20, 2026 (Hong Kong time) to discuss the Results and answer questions. Please register in advance of the conference call using the registration link provided below. Upon registering, each participant will receive a set of dial-in numbers and a personal PIN, which will be used to join the conference call. </w:t>
      </w:r>
    </w:p>
    <w:p>
      <w:pPr>
        <w:pStyle w:val="TextBody"/>
        <w:bidi w:val="0"/>
        <w:spacing w:before="240" w:after="0"/>
        <w:jc w:val="left"/>
        <w:rPr>
          <w:rFonts w:ascii="Times New Roman" w:hAnsi="Times New Roman"/>
          <w:sz w:val="20"/>
        </w:rPr>
      </w:pPr>
      <w:r>
        <w:rPr>
          <w:rFonts w:ascii="Times New Roman" w:hAnsi="Times New Roman"/>
          <w:sz w:val="20"/>
        </w:rPr>
        <w:t xml:space="preserve">Registration Link: </w:t>
      </w:r>
      <w:r>
        <w:rPr>
          <w:rFonts w:ascii="Times New Roman" w:hAnsi="Times New Roman"/>
          <w:b/>
          <w:sz w:val="20"/>
          <w:u w:val="single"/>
        </w:rPr>
        <w:t>https://register-conf.media-server.com/register/BI296b7d951b7846ef99ed79972fbe1931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Please use the conference access information to join the call ten minutes before the call is scheduled to begin. Additionally, a live and archived webcast of the conference call will be available at </w:t>
      </w:r>
      <w:r>
        <w:rPr>
          <w:rFonts w:ascii="Times New Roman" w:hAnsi="Times New Roman"/>
          <w:b/>
          <w:sz w:val="20"/>
          <w:u w:val="single"/>
        </w:rPr>
        <w:t>https://ir.autohome.com.cn</w:t>
      </w:r>
      <w:r>
        <w:rPr>
          <w:rFonts w:ascii="Times New Roman" w:hAnsi="Times New Roman"/>
          <w:sz w:val="20"/>
        </w:rPr>
        <w:t xml:space="preserve"> and a replay of the webcast will be available following the session.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center"/>
              <w:rPr/>
            </w:pPr>
            <w:r>
              <w:rPr/>
              <w:t>By order of the Board</w:t>
            </w:r>
          </w:p>
        </w:tc>
      </w:tr>
      <w:tr>
        <w:trPr/>
        <w:tc>
          <w:tcPr>
            <w:tcW w:w="4082" w:type="dxa"/>
            <w:tcBorders/>
          </w:tcPr>
          <w:p>
            <w:pPr>
              <w:pStyle w:val="TableContents"/>
              <w:bidi w:val="0"/>
              <w:spacing w:before="0" w:after="283"/>
              <w:jc w:val="center"/>
              <w:rPr>
                <w:b/>
              </w:rPr>
            </w:pPr>
            <w:r>
              <w:rPr>
                <w:b/>
              </w:rPr>
              <w:t>Autohome Inc.</w:t>
            </w:r>
          </w:p>
        </w:tc>
      </w:tr>
      <w:tr>
        <w:trPr/>
        <w:tc>
          <w:tcPr>
            <w:tcW w:w="4082" w:type="dxa"/>
            <w:tcBorders/>
          </w:tcPr>
          <w:p>
            <w:pPr>
              <w:pStyle w:val="TableContents"/>
              <w:bidi w:val="0"/>
              <w:spacing w:before="0" w:after="283"/>
              <w:jc w:val="center"/>
              <w:rPr>
                <w:b/>
              </w:rPr>
            </w:pPr>
            <w:r>
              <w:rPr>
                <w:b/>
              </w:rPr>
              <w:t>Mr. Chi Liu</w:t>
            </w:r>
          </w:p>
        </w:tc>
      </w:tr>
      <w:tr>
        <w:trPr/>
        <w:tc>
          <w:tcPr>
            <w:tcW w:w="4082" w:type="dxa"/>
            <w:tcBorders/>
          </w:tcPr>
          <w:p>
            <w:pPr>
              <w:pStyle w:val="TableContents"/>
              <w:bidi w:val="0"/>
              <w:spacing w:before="0" w:after="0"/>
              <w:jc w:val="center"/>
              <w:rPr>
                <w:rFonts w:ascii="Times New Roman" w:hAnsi="Times New Roman"/>
                <w:i/>
                <w:sz w:val="20"/>
              </w:rPr>
            </w:pPr>
            <w:r>
              <w:rPr>
                <w:rFonts w:ascii="Times New Roman" w:hAnsi="Times New Roman"/>
                <w:i/>
                <w:sz w:val="20"/>
              </w:rPr>
              <w:t>Chairman of the Board, Director and</w:t>
            </w:r>
          </w:p>
          <w:p>
            <w:pPr>
              <w:pStyle w:val="TableContents"/>
              <w:bidi w:val="0"/>
              <w:spacing w:before="0" w:after="20"/>
              <w:jc w:val="center"/>
              <w:rPr>
                <w:rFonts w:ascii="Times New Roman" w:hAnsi="Times New Roman"/>
                <w:i/>
                <w:sz w:val="20"/>
              </w:rPr>
            </w:pPr>
            <w:r>
              <w:rPr>
                <w:rFonts w:ascii="Times New Roman" w:hAnsi="Times New Roman"/>
                <w:i/>
                <w:sz w:val="20"/>
              </w:rPr>
              <w:t>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Hong Kong, July 31, 2026 </w:t>
      </w:r>
    </w:p>
    <w:p>
      <w:pPr>
        <w:pStyle w:val="TextBody"/>
        <w:bidi w:val="0"/>
        <w:spacing w:before="240" w:after="0"/>
        <w:jc w:val="left"/>
        <w:rPr>
          <w:rFonts w:ascii="Times New Roman" w:hAnsi="Times New Roman"/>
          <w:i/>
          <w:sz w:val="20"/>
        </w:rPr>
      </w:pPr>
      <w:r>
        <w:rPr>
          <w:rFonts w:ascii="Times New Roman" w:hAnsi="Times New Roman"/>
          <w:i/>
          <w:sz w:val="20"/>
        </w:rPr>
        <w:t xml:space="preserve">As at the date of this announcement, the Board comprises Mr. Chi Liu, Mr. Haishan Liang, Ms. Cuimei Zhang, Mr. Shenglei Zhou, Mr. Xing Fang and Mr. Quan Long as the directors, and Mr. Junling Liu, Mr. Tianruo Pu and Dr. Dazong Wang as the independent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For identification purposes only</w:t>
            </w:r>
            <w:r>
              <w:rPr>
                <w:rFonts w:ascii="Times New Roman" w:hAnsi="Times New Roman"/>
                <w:sz w:val="20"/>
              </w:rPr>
              <w:t xml:space="preserve">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564</Words>
  <Characters>2958</Characters>
  <CharactersWithSpaces>3531</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