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22026_040901.xml.htm"/>
      <w:bookmarkStart w:id="1" w:name="ksform40902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Chi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AUTOHOME INC., 18TH FLOOR TOWER B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CEC PLAZA, 3 DAN LING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DISTRICT, 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Autohome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68"/>
        <w:gridCol w:w="446"/>
        <w:gridCol w:w="839"/>
        <w:gridCol w:w="1150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58,368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58,368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23,760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5.5588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34,608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performance-based restricted shares for which the Reporting Person is entitled to receive one (1) Ordinary Share for each resticted share that vested and settled as of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sold to satisfy withholding tax obligations upon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Chi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458" TargetMode="External"/><Relationship Id="rId5" Type="http://schemas.openxmlformats.org/officeDocument/2006/relationships/hyperlink" Target="http://www.sec.gov/cgi-bin/browse-edgar?action=getcompany&amp;CIK=0001527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3410</Characters>
  <CharactersWithSpaces>3961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